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1E7A" w14:textId="77777777" w:rsidR="00396389" w:rsidRPr="005E73F5" w:rsidRDefault="00396389" w:rsidP="00396389">
      <w:pPr>
        <w:spacing w:after="120"/>
        <w:rPr>
          <w:rFonts w:ascii="TH SarabunPSK" w:hAnsi="TH SarabunPSK" w:cs="TH SarabunPSK"/>
          <w:b/>
          <w:bCs/>
          <w:color w:val="FF0000"/>
          <w:sz w:val="32"/>
          <w:szCs w:val="40"/>
          <w:u w:val="single"/>
        </w:rPr>
      </w:pPr>
      <w:r w:rsidRPr="005E73F5">
        <w:rPr>
          <w:rFonts w:ascii="TH SarabunPSK" w:hAnsi="TH SarabunPSK" w:cs="TH SarabunPSK"/>
          <w:b/>
          <w:bCs/>
          <w:color w:val="FF0000"/>
          <w:sz w:val="32"/>
          <w:szCs w:val="40"/>
          <w:u w:val="single"/>
        </w:rPr>
        <w:t>Description 1</w:t>
      </w:r>
    </w:p>
    <w:p w14:paraId="1050D73B" w14:textId="0B898A50" w:rsidR="0055140C" w:rsidRPr="0055140C" w:rsidRDefault="00A26F7E" w:rsidP="0055140C">
      <w:pPr>
        <w:spacing w:after="0"/>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The Series RHPX Humidity and Temperature Transmitter accurately monitors the humidity and temperature for building control functions to maximize occupant comfort and minimize operating costs. Featuring capacitance polymer humidity sensors, models are available in 2% and 3% accuracies. An optional two-line alphanumeric LCD display is available. The high accuracy, long term stability and reliable operation in multiple enclosure styles make the Series RHPX an excellent choice for monitoring humidity and temperature in building energy management systems, commercial HVAC systems, clean rooms, museums and data centers. The Series RHPX can be optionally configured to supply absolute or relative humidity or dew point in addition to enthalpy</w:t>
      </w:r>
      <w:r w:rsidR="0055140C" w:rsidRPr="0055140C">
        <w:rPr>
          <w:rFonts w:ascii="TH SarabunPSK" w:eastAsia="Times New Roman" w:hAnsi="TH SarabunPSK" w:cs="TH SarabunPSK"/>
          <w:color w:val="333333"/>
          <w:spacing w:val="11"/>
          <w:kern w:val="0"/>
          <w:sz w:val="32"/>
          <w:szCs w:val="32"/>
          <w14:ligatures w14:val="none"/>
        </w:rPr>
        <w:t>.</w:t>
      </w:r>
    </w:p>
    <w:p w14:paraId="386757CE" w14:textId="77777777" w:rsidR="0055140C" w:rsidRPr="00642A6B" w:rsidRDefault="0055140C" w:rsidP="0055140C">
      <w:pPr>
        <w:spacing w:after="0"/>
        <w:rPr>
          <w:rFonts w:ascii="TH SarabunPSK" w:hAnsi="TH SarabunPSK" w:cs="TH SarabunPSK"/>
          <w:sz w:val="32"/>
          <w:szCs w:val="40"/>
        </w:rPr>
      </w:pPr>
    </w:p>
    <w:p w14:paraId="2C80A7DF" w14:textId="77777777" w:rsidR="00396389" w:rsidRPr="005E73F5" w:rsidRDefault="00396389" w:rsidP="00396389">
      <w:pPr>
        <w:spacing w:after="120"/>
        <w:rPr>
          <w:rFonts w:ascii="TH SarabunPSK" w:hAnsi="TH SarabunPSK" w:cs="TH SarabunPSK"/>
          <w:b/>
          <w:bCs/>
          <w:color w:val="FF0000"/>
          <w:sz w:val="32"/>
          <w:szCs w:val="40"/>
          <w:u w:val="single"/>
        </w:rPr>
      </w:pPr>
      <w:r w:rsidRPr="005E73F5">
        <w:rPr>
          <w:rFonts w:ascii="TH SarabunPSK" w:hAnsi="TH SarabunPSK" w:cs="TH SarabunPSK"/>
          <w:b/>
          <w:bCs/>
          <w:color w:val="FF0000"/>
          <w:sz w:val="32"/>
          <w:szCs w:val="40"/>
          <w:u w:val="single"/>
        </w:rPr>
        <w:t>Description 2</w:t>
      </w:r>
    </w:p>
    <w:p w14:paraId="492FA465" w14:textId="788E28A3" w:rsidR="00B71DD1" w:rsidRDefault="00A26F7E" w:rsidP="00B71DD1">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The Series RHPX Humidity and Temperature Transmitter accurately monitors the humidity and temperature for building control functions to maximize occupant comfort and minimize operating costs. Featuring capacitance polymer humidity sensors, models are available in 2% and 3% accuracies. An optional two-line alphanumeric LCD display is available. The high accuracy, long term stability and reliable operation in multiple enclosure styles make the Series RHPX an excellent choice for monitoring humidity and temperature in building energy management systems, commercial HVAC systems, clean rooms, museums and data centers. The Series RHPX can be optionally configured to supply absolute or relative humidity or dew point in addition to enthalpy</w:t>
      </w:r>
      <w:r w:rsidR="00B71DD1" w:rsidRPr="00B71DD1">
        <w:rPr>
          <w:rFonts w:ascii="TH SarabunPSK" w:eastAsia="Times New Roman" w:hAnsi="TH SarabunPSK" w:cs="TH SarabunPSK"/>
          <w:color w:val="333333"/>
          <w:spacing w:val="11"/>
          <w:kern w:val="0"/>
          <w:sz w:val="32"/>
          <w:szCs w:val="32"/>
          <w14:ligatures w14:val="none"/>
        </w:rPr>
        <w:t>.</w:t>
      </w:r>
    </w:p>
    <w:p w14:paraId="3C233E27" w14:textId="77777777" w:rsidR="00B71DD1" w:rsidRPr="00B71DD1" w:rsidRDefault="00B71DD1" w:rsidP="00B71DD1">
      <w:pPr>
        <w:spacing w:after="0" w:line="240" w:lineRule="auto"/>
        <w:rPr>
          <w:rFonts w:ascii="TH SarabunPSK" w:eastAsia="Times New Roman" w:hAnsi="TH SarabunPSK" w:cs="TH SarabunPSK"/>
          <w:color w:val="333333"/>
          <w:spacing w:val="11"/>
          <w:kern w:val="0"/>
          <w:sz w:val="32"/>
          <w:szCs w:val="32"/>
          <w14:ligatures w14:val="none"/>
        </w:rPr>
      </w:pPr>
    </w:p>
    <w:p w14:paraId="59B62660" w14:textId="495E7EB4" w:rsidR="00B71DD1" w:rsidRPr="00B71DD1" w:rsidRDefault="00B71DD1" w:rsidP="00B71DD1">
      <w:pPr>
        <w:spacing w:after="0" w:line="240" w:lineRule="auto"/>
        <w:rPr>
          <w:rFonts w:ascii="TH SarabunPSK" w:eastAsia="Times New Roman" w:hAnsi="TH SarabunPSK" w:cs="TH SarabunPSK"/>
          <w:b/>
          <w:bCs/>
          <w:color w:val="333333"/>
          <w:spacing w:val="11"/>
          <w:kern w:val="0"/>
          <w:sz w:val="32"/>
          <w:szCs w:val="32"/>
          <w14:ligatures w14:val="none"/>
        </w:rPr>
      </w:pPr>
      <w:r w:rsidRPr="00B71DD1">
        <w:rPr>
          <w:rFonts w:ascii="TH SarabunPSK" w:eastAsia="Times New Roman" w:hAnsi="TH SarabunPSK" w:cs="TH SarabunPSK"/>
          <w:b/>
          <w:bCs/>
          <w:color w:val="333333"/>
          <w:spacing w:val="11"/>
          <w:kern w:val="0"/>
          <w:sz w:val="32"/>
          <w:szCs w:val="32"/>
          <w14:ligatures w14:val="none"/>
        </w:rPr>
        <w:t>BENEFITS/FEATURES</w:t>
      </w:r>
    </w:p>
    <w:p w14:paraId="1B215F38" w14:textId="77777777" w:rsidR="00A26F7E" w:rsidRPr="00A26F7E" w:rsidRDefault="00B71DD1" w:rsidP="00A26F7E">
      <w:pPr>
        <w:spacing w:after="0" w:line="240" w:lineRule="auto"/>
        <w:rPr>
          <w:rFonts w:ascii="TH SarabunPSK" w:eastAsia="Times New Roman" w:hAnsi="TH SarabunPSK" w:cs="TH SarabunPSK"/>
          <w:color w:val="333333"/>
          <w:spacing w:val="11"/>
          <w:kern w:val="0"/>
          <w:sz w:val="32"/>
          <w:szCs w:val="32"/>
          <w14:ligatures w14:val="none"/>
        </w:rPr>
      </w:pPr>
      <w:r w:rsidRPr="00B71DD1">
        <w:rPr>
          <w:rFonts w:ascii="TH SarabunPSK" w:eastAsia="Times New Roman" w:hAnsi="TH SarabunPSK" w:cs="TH SarabunPSK"/>
          <w:color w:val="333333"/>
          <w:spacing w:val="11"/>
          <w:kern w:val="0"/>
          <w:sz w:val="32"/>
          <w:szCs w:val="32"/>
          <w14:ligatures w14:val="none"/>
        </w:rPr>
        <w:t>•</w:t>
      </w:r>
      <w:r>
        <w:rPr>
          <w:rFonts w:ascii="TH SarabunPSK" w:eastAsia="Times New Roman" w:hAnsi="TH SarabunPSK" w:cs="TH SarabunPSK"/>
          <w:color w:val="333333"/>
          <w:spacing w:val="11"/>
          <w:kern w:val="0"/>
          <w:sz w:val="32"/>
          <w:szCs w:val="32"/>
          <w14:ligatures w14:val="none"/>
        </w:rPr>
        <w:t xml:space="preserve"> </w:t>
      </w:r>
      <w:r w:rsidR="00A26F7E" w:rsidRPr="00A26F7E">
        <w:rPr>
          <w:rFonts w:ascii="TH SarabunPSK" w:eastAsia="Times New Roman" w:hAnsi="TH SarabunPSK" w:cs="TH SarabunPSK"/>
          <w:color w:val="333333"/>
          <w:spacing w:val="11"/>
          <w:kern w:val="0"/>
          <w:sz w:val="32"/>
          <w:szCs w:val="32"/>
          <w14:ligatures w14:val="none"/>
        </w:rPr>
        <w:t xml:space="preserve">Reduced installation costs with multiple on-board sensors </w:t>
      </w:r>
    </w:p>
    <w:p w14:paraId="6A4EA7A1" w14:textId="77777777"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xml:space="preserve">• Minimal maintenance with UV rated outdoor enclosures </w:t>
      </w:r>
    </w:p>
    <w:p w14:paraId="6681C5D8" w14:textId="77777777"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xml:space="preserve">• UL 2043 compliant allows installation into the plenum space </w:t>
      </w:r>
    </w:p>
    <w:p w14:paraId="6B7B0E3D" w14:textId="180CBC18" w:rsid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Easy installation with removable terminal block, attached lid, and cable</w:t>
      </w:r>
      <w:r>
        <w:rPr>
          <w:rFonts w:ascii="TH SarabunPSK" w:eastAsia="Times New Roman" w:hAnsi="TH SarabunPSK" w:cs="TH SarabunPSK"/>
          <w:color w:val="333333"/>
          <w:spacing w:val="11"/>
          <w:kern w:val="0"/>
          <w:sz w:val="32"/>
          <w:szCs w:val="32"/>
          <w14:ligatures w14:val="none"/>
        </w:rPr>
        <w:t xml:space="preserve"> </w:t>
      </w:r>
      <w:r w:rsidRPr="00A26F7E">
        <w:rPr>
          <w:rFonts w:ascii="TH SarabunPSK" w:eastAsia="Times New Roman" w:hAnsi="TH SarabunPSK" w:cs="TH SarabunPSK"/>
          <w:color w:val="333333"/>
          <w:spacing w:val="11"/>
          <w:kern w:val="0"/>
          <w:sz w:val="32"/>
          <w:szCs w:val="32"/>
          <w14:ligatures w14:val="none"/>
        </w:rPr>
        <w:t>management</w:t>
      </w:r>
    </w:p>
    <w:p w14:paraId="6946E0FB" w14:textId="77777777" w:rsid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p>
    <w:p w14:paraId="580F4924" w14:textId="6ADE3291" w:rsidR="00B71DD1" w:rsidRPr="00B71DD1" w:rsidRDefault="00B71DD1" w:rsidP="00A26F7E">
      <w:pPr>
        <w:spacing w:after="0" w:line="240" w:lineRule="auto"/>
        <w:rPr>
          <w:rFonts w:ascii="TH SarabunPSK" w:eastAsia="Times New Roman" w:hAnsi="TH SarabunPSK" w:cs="TH SarabunPSK"/>
          <w:b/>
          <w:bCs/>
          <w:color w:val="333333"/>
          <w:spacing w:val="11"/>
          <w:kern w:val="0"/>
          <w:sz w:val="32"/>
          <w:szCs w:val="32"/>
          <w14:ligatures w14:val="none"/>
        </w:rPr>
      </w:pPr>
      <w:r w:rsidRPr="00B71DD1">
        <w:rPr>
          <w:rFonts w:ascii="TH SarabunPSK" w:eastAsia="Times New Roman" w:hAnsi="TH SarabunPSK" w:cs="TH SarabunPSK"/>
          <w:b/>
          <w:bCs/>
          <w:color w:val="333333"/>
          <w:spacing w:val="11"/>
          <w:kern w:val="0"/>
          <w:sz w:val="32"/>
          <w:szCs w:val="32"/>
          <w14:ligatures w14:val="none"/>
        </w:rPr>
        <w:t>APPLICATIONS</w:t>
      </w:r>
    </w:p>
    <w:p w14:paraId="03F35C69" w14:textId="77777777" w:rsidR="00A26F7E" w:rsidRPr="00A26F7E" w:rsidRDefault="00B71DD1" w:rsidP="00A26F7E">
      <w:pPr>
        <w:spacing w:after="0" w:line="240" w:lineRule="auto"/>
        <w:rPr>
          <w:rFonts w:ascii="TH SarabunPSK" w:eastAsia="Times New Roman" w:hAnsi="TH SarabunPSK" w:cs="TH SarabunPSK"/>
          <w:color w:val="333333"/>
          <w:spacing w:val="11"/>
          <w:kern w:val="0"/>
          <w:sz w:val="32"/>
          <w:szCs w:val="32"/>
          <w14:ligatures w14:val="none"/>
        </w:rPr>
      </w:pPr>
      <w:r w:rsidRPr="00B71DD1">
        <w:rPr>
          <w:rFonts w:ascii="TH SarabunPSK" w:eastAsia="Times New Roman" w:hAnsi="TH SarabunPSK" w:cs="TH SarabunPSK"/>
          <w:color w:val="333333"/>
          <w:spacing w:val="11"/>
          <w:kern w:val="0"/>
          <w:sz w:val="32"/>
          <w:szCs w:val="32"/>
          <w14:ligatures w14:val="none"/>
        </w:rPr>
        <w:t xml:space="preserve">• </w:t>
      </w:r>
      <w:r w:rsidR="00A26F7E" w:rsidRPr="00A26F7E">
        <w:rPr>
          <w:rFonts w:ascii="TH SarabunPSK" w:eastAsia="Times New Roman" w:hAnsi="TH SarabunPSK" w:cs="TH SarabunPSK"/>
          <w:color w:val="333333"/>
          <w:spacing w:val="11"/>
          <w:kern w:val="0"/>
          <w:sz w:val="32"/>
          <w:szCs w:val="32"/>
          <w14:ligatures w14:val="none"/>
        </w:rPr>
        <w:t>Air economizers</w:t>
      </w:r>
    </w:p>
    <w:p w14:paraId="2A2CD34E" w14:textId="3E97F733"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Outdoor humidity and temperature reference</w:t>
      </w:r>
    </w:p>
    <w:p w14:paraId="14B322CB" w14:textId="66F3328C"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lastRenderedPageBreak/>
        <w:t>• Pool room humidity monitoring</w:t>
      </w:r>
    </w:p>
    <w:p w14:paraId="2E3C6674" w14:textId="1AE70897" w:rsidR="00B71DD1"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Building energy management systems</w:t>
      </w:r>
    </w:p>
    <w:p w14:paraId="74101970" w14:textId="77777777"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Commercial HVAC systems</w:t>
      </w:r>
    </w:p>
    <w:p w14:paraId="28ACC04B" w14:textId="2B13F0F6"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Clean rooms</w:t>
      </w:r>
    </w:p>
    <w:p w14:paraId="0659D896" w14:textId="370FE316" w:rsidR="00A26F7E" w:rsidRP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Museums</w:t>
      </w:r>
    </w:p>
    <w:p w14:paraId="621847FC" w14:textId="77879509" w:rsid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r w:rsidRPr="00A26F7E">
        <w:rPr>
          <w:rFonts w:ascii="TH SarabunPSK" w:eastAsia="Times New Roman" w:hAnsi="TH SarabunPSK" w:cs="TH SarabunPSK"/>
          <w:color w:val="333333"/>
          <w:spacing w:val="11"/>
          <w:kern w:val="0"/>
          <w:sz w:val="32"/>
          <w:szCs w:val="32"/>
          <w14:ligatures w14:val="none"/>
        </w:rPr>
        <w:t>• Data centers</w:t>
      </w:r>
    </w:p>
    <w:p w14:paraId="2D67ECA2" w14:textId="77777777" w:rsidR="00A26F7E" w:rsidRDefault="00A26F7E" w:rsidP="00A26F7E">
      <w:pPr>
        <w:spacing w:after="0" w:line="240" w:lineRule="auto"/>
        <w:rPr>
          <w:rFonts w:ascii="TH SarabunPSK" w:eastAsia="Times New Roman" w:hAnsi="TH SarabunPSK" w:cs="TH SarabunPSK"/>
          <w:color w:val="333333"/>
          <w:spacing w:val="11"/>
          <w:kern w:val="0"/>
          <w:sz w:val="32"/>
          <w:szCs w:val="32"/>
          <w14:ligatures w14:val="none"/>
        </w:rPr>
      </w:pPr>
    </w:p>
    <w:p w14:paraId="449A1E7B" w14:textId="50DB468A" w:rsidR="0014725C" w:rsidRPr="00F40FD5" w:rsidRDefault="00F40FD5" w:rsidP="003921AF">
      <w:pPr>
        <w:shd w:val="clear" w:color="auto" w:fill="FFFFFF"/>
        <w:spacing w:after="0" w:line="240" w:lineRule="auto"/>
        <w:rPr>
          <w:rFonts w:ascii="TH SarabunPSK" w:eastAsia="Times New Roman" w:hAnsi="TH SarabunPSK" w:cs="TH SarabunPSK"/>
          <w:b/>
          <w:bCs/>
          <w:color w:val="FF0000"/>
          <w:spacing w:val="11"/>
          <w:kern w:val="0"/>
          <w:sz w:val="32"/>
          <w:szCs w:val="32"/>
          <w14:ligatures w14:val="none"/>
        </w:rPr>
      </w:pPr>
      <w:r w:rsidRPr="00F40FD5">
        <w:rPr>
          <w:rFonts w:ascii="TH SarabunPSK" w:eastAsia="Times New Roman" w:hAnsi="TH SarabunPSK" w:cs="TH SarabunPSK"/>
          <w:b/>
          <w:bCs/>
          <w:color w:val="FF0000"/>
          <w:spacing w:val="11"/>
          <w:kern w:val="0"/>
          <w:sz w:val="32"/>
          <w:szCs w:val="32"/>
          <w14:ligatures w14:val="none"/>
        </w:rPr>
        <w:t>Catalog Download</w:t>
      </w:r>
    </w:p>
    <w:sectPr w:rsidR="0014725C" w:rsidRPr="00F40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D1"/>
    <w:rsid w:val="00001A85"/>
    <w:rsid w:val="000761AB"/>
    <w:rsid w:val="00090300"/>
    <w:rsid w:val="00090CE2"/>
    <w:rsid w:val="000A6008"/>
    <w:rsid w:val="0014725C"/>
    <w:rsid w:val="003921AF"/>
    <w:rsid w:val="00396389"/>
    <w:rsid w:val="003D5A05"/>
    <w:rsid w:val="00523FDE"/>
    <w:rsid w:val="0055140C"/>
    <w:rsid w:val="005A3561"/>
    <w:rsid w:val="005F3ABE"/>
    <w:rsid w:val="00605EC8"/>
    <w:rsid w:val="006B5C2D"/>
    <w:rsid w:val="0070303F"/>
    <w:rsid w:val="0082543A"/>
    <w:rsid w:val="0083227A"/>
    <w:rsid w:val="008F1FD1"/>
    <w:rsid w:val="0090022F"/>
    <w:rsid w:val="0098445A"/>
    <w:rsid w:val="00A26F7E"/>
    <w:rsid w:val="00A35A6D"/>
    <w:rsid w:val="00A5204E"/>
    <w:rsid w:val="00AC7913"/>
    <w:rsid w:val="00B71DD1"/>
    <w:rsid w:val="00B86386"/>
    <w:rsid w:val="00BB4FAE"/>
    <w:rsid w:val="00BC27D7"/>
    <w:rsid w:val="00C74B63"/>
    <w:rsid w:val="00CD3C83"/>
    <w:rsid w:val="00D42522"/>
    <w:rsid w:val="00DF3662"/>
    <w:rsid w:val="00E02215"/>
    <w:rsid w:val="00F018A7"/>
    <w:rsid w:val="00F132A5"/>
    <w:rsid w:val="00F40FD5"/>
    <w:rsid w:val="00F41F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E20"/>
  <w15:chartTrackingRefBased/>
  <w15:docId w15:val="{00D40AE2-9E3A-4844-B302-ED2FE16C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7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630297">
      <w:bodyDiv w:val="1"/>
      <w:marLeft w:val="0"/>
      <w:marRight w:val="0"/>
      <w:marTop w:val="0"/>
      <w:marBottom w:val="0"/>
      <w:divBdr>
        <w:top w:val="none" w:sz="0" w:space="0" w:color="auto"/>
        <w:left w:val="none" w:sz="0" w:space="0" w:color="auto"/>
        <w:bottom w:val="none" w:sz="0" w:space="0" w:color="auto"/>
        <w:right w:val="none" w:sz="0" w:space="0" w:color="auto"/>
      </w:divBdr>
    </w:div>
    <w:div w:id="15036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Kunapot Aunprasit</dc:creator>
  <cp:keywords/>
  <dc:description/>
  <cp:lastModifiedBy>Kunapot Aunprasit</cp:lastModifiedBy>
  <cp:revision>37</cp:revision>
  <dcterms:created xsi:type="dcterms:W3CDTF">2023-09-14T11:18:00Z</dcterms:created>
  <dcterms:modified xsi:type="dcterms:W3CDTF">2024-08-06T15:38:00Z</dcterms:modified>
</cp:coreProperties>
</file>